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C" w:rsidRPr="00CE1E1C" w:rsidRDefault="00CE1E1C" w:rsidP="00CE1E1C">
      <w:pPr>
        <w:shd w:val="clear" w:color="auto" w:fill="FFFFFF"/>
        <w:spacing w:after="0" w:line="240" w:lineRule="atLeast"/>
        <w:jc w:val="center"/>
        <w:textAlignment w:val="top"/>
        <w:outlineLvl w:val="1"/>
        <w:rPr>
          <w:rFonts w:eastAsia="Times New Roman"/>
          <w:b/>
          <w:bCs/>
          <w:color w:val="3D3D3D"/>
          <w:sz w:val="30"/>
          <w:szCs w:val="30"/>
          <w:lang w:eastAsia="ru-RU"/>
        </w:rPr>
      </w:pP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Ғылыми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кі</w:t>
      </w:r>
      <w:proofErr w:type="gramStart"/>
      <w:r w:rsidRPr="00CE1E1C">
        <w:rPr>
          <w:rFonts w:eastAsia="Times New Roman"/>
          <w:b/>
          <w:bCs/>
          <w:color w:val="4A4A4A"/>
          <w:sz w:val="30"/>
          <w:lang w:eastAsia="ru-RU"/>
        </w:rPr>
        <w:t>тапхана</w:t>
      </w:r>
      <w:proofErr w:type="gramEnd"/>
      <w:r w:rsidRPr="00CE1E1C">
        <w:rPr>
          <w:rFonts w:eastAsia="Times New Roman"/>
          <w:b/>
          <w:bCs/>
          <w:color w:val="4A4A4A"/>
          <w:sz w:val="30"/>
          <w:lang w:eastAsia="ru-RU"/>
        </w:rPr>
        <w:t>ға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жаңадан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түскен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қазақ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тіліндегі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r w:rsidRPr="00CE1E1C">
        <w:rPr>
          <w:rFonts w:eastAsia="Times New Roman"/>
          <w:b/>
          <w:bCs/>
          <w:color w:val="4A4A4A"/>
          <w:sz w:val="30"/>
          <w:lang w:val="kk-KZ" w:eastAsia="ru-RU"/>
        </w:rPr>
        <w:t>ә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дебиеттерге</w:t>
      </w:r>
      <w:proofErr w:type="spellEnd"/>
      <w:r w:rsidRPr="00CE1E1C">
        <w:rPr>
          <w:rFonts w:eastAsia="Times New Roman"/>
          <w:b/>
          <w:bCs/>
          <w:color w:val="4A4A4A"/>
          <w:sz w:val="30"/>
          <w:lang w:eastAsia="ru-RU"/>
        </w:rPr>
        <w:t xml:space="preserve"> </w:t>
      </w:r>
      <w:proofErr w:type="spellStart"/>
      <w:r w:rsidRPr="00CE1E1C">
        <w:rPr>
          <w:rFonts w:eastAsia="Times New Roman"/>
          <w:b/>
          <w:bCs/>
          <w:color w:val="4A4A4A"/>
          <w:sz w:val="30"/>
          <w:lang w:eastAsia="ru-RU"/>
        </w:rPr>
        <w:t>шолу</w:t>
      </w:r>
      <w:proofErr w:type="spellEnd"/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Мәдениет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Министрлігі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комитетінің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ұйымдастыруымен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ел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Тәуелсіздігінің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20-жылдығына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орай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Мемлекттік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–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барша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қазақстандықтарды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іктіретін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негізгі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фактор»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конференция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болып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өткен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Бағдарламада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2011-2021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жылдар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аралығында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комитетінің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тапсырысы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бойынша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елі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іздегі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міндет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–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дамыту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Сондықтан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да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еліміздегі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белгілі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Аруна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Өлке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Дәуір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Аударма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Ертегілер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елінде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т.б.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баспаханалардың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қойған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мақсаты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–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балабақша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бүлдіршіндерінен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бастап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ғылыми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колледж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кітапханалары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көпшілік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ітапханалар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мектеп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кітапханаларының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оқырмандарын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тіліндегі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әдебиеттермен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қамтамасыз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ету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болып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отыр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Осы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бастаманың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алғашқы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легі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біздің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Торайғыров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Павлодар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мемлекеттік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университетінің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академик С.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Бейсембаев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ғылыми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кітапханасына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Аударма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баспасының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Әлемдік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классика»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сериясынан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әлем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классиктерінің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белгілі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шығармалары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келі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түсті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jc w:val="center"/>
        <w:textAlignment w:val="top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24050" cy="1466850"/>
            <wp:effectExtent l="19050" t="0" r="0" b="0"/>
            <wp:docPr id="1" name="Рисунок 1" descr="adebi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bie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айтқанда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: Ш.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Айтматовтың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Боранды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бекеті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Құс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жолы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О.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Бальзактың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Шегірен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былғарысы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И.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Буниннің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Арсеньевтің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«Антон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В.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Гюгоның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Тоқсан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үшінші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А.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Конан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Дойлдың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«Жирен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шаштылары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»; Л.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Толстойдың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«Крейцер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сонатасы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Э.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Хемингуэйдің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Қызығы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мол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жылдары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А.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Чеховтың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«Жуан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жіңішкесі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В.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Шукшиннің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«Село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тұрғындары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т.б.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jc w:val="center"/>
        <w:textAlignment w:val="top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9300" cy="1323975"/>
            <wp:effectExtent l="19050" t="0" r="0" b="0"/>
            <wp:docPr id="2" name="Рисунок 2" descr="adebi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bie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Сондай-ақ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Орысш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а-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тілашар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+ СD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дискімен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бірге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келіп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түсті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Тілашарда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күнделікті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қарым-қатынаста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қолданылатын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ауызекі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сөйлеу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үлгілері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қажетті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сөздер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сөз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тіркестері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берілген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Тілашар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10-тақырыпты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қамтиды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айтатын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болсақ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: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Дастархан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Шаңырақ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Денсаулық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Мәдениет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Білім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Кәсі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Саяхат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«Спорт»,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Сауда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Қызмет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Сонымен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кітапханамызға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алғаш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баспасынан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аудиокітаптар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келі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түсті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Жобаның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авторы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көркемдік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жетекшісі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Есенғали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Раушанов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Безендірген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Бейсен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Серікбай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3240"/>
      </w:tblGrid>
      <w:tr w:rsidR="00CE1E1C" w:rsidRPr="00CE1E1C" w:rsidTr="00CE1E1C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E1C" w:rsidRPr="00CE1E1C" w:rsidRDefault="00CE1E1C" w:rsidP="00CE1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0" cy="1314450"/>
                  <wp:effectExtent l="19050" t="0" r="0" b="0"/>
                  <wp:docPr id="3" name="Рисунок 3" descr="adebi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ebi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E1C" w:rsidRPr="00CE1E1C" w:rsidRDefault="00CE1E1C" w:rsidP="00CE1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0" cy="1314450"/>
                  <wp:effectExtent l="19050" t="0" r="0" b="0"/>
                  <wp:docPr id="4" name="Рисунок 4" descr="adebi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ebi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lastRenderedPageBreak/>
        <w:t>Әуезов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М., Абай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жолы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: роман-эпопея.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М.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Тесебаев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Мұхтар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Әуезовтың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«Абай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жолы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роман-эпопеясының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тұңғыш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жарық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аудионұсқасы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студенттер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оқытушылар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арасында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үлкен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сұ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раныс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ие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болып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отыр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қаһарман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– Абай.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Абайдың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азамат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данышпан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ақын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ретінде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қалыптасу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жолы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қоғамының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барлық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саласындағы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өмірдің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барша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құбылысымен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үндесті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іле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суреттелген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Эпопеяда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19-ғасырдың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екінші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жартысындағы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20-ғасырдың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халқының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тұрмыс-тіршілігі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ұралаң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тағдыры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ой-арманы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мақсат-мүддесі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тамаша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бейнеленген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Роман-эпопеяның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нұсқасы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8-дыбыстық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дискіге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жазылған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Мұратбек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Тесебаевтың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оқуында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80-сағ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оқылады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Келесі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Абай </w:t>
      </w: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өлең</w:t>
      </w:r>
      <w:proofErr w:type="gram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дер</w:t>
      </w:r>
      <w:proofErr w:type="gram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іне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арналған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Абай.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Өлеңдер</w:t>
      </w:r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:А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С.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Әбілұлы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Құнанбайұлы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Абай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поэзиясының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мазмұндық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ауқымын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тақырыбын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кеңейтті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әдебиетте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ңа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стиль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жанрлық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түрлер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туғызды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Сондықтан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да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бұл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аудиокітапта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ақыны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ойшыл-философы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ағартушы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композиторы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Абайдың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өлең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дер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жинағы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Серік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Әбілұлының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оқуында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берілген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Сан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ғасырлардан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шаршамай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шалдықпай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жеткен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тұлпар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шаң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қаппайтын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дүр-жауһарлар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топтастырылған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: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Жорық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жырлары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Өлең</w:t>
      </w:r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дер</w:t>
      </w:r>
      <w:proofErr w:type="spellEnd"/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толғаулар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ақын-жырауларының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ерлік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жырлары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: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С.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Әбі</w:t>
      </w:r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л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ұлы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Жорық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жырларына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енген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өлең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дер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толғаулар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ақын-жырауларының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ерлік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жырлары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поэзиясының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алтын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бастауы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есептелінетін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жыраулар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поэзиясы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ешқашан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ескірмек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емес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кезін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көргіңіз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келсе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жырауларды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тыңдаңыз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демекші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мұндай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поэзиясы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бар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халықтың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бақытсыз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болуы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мүмкін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емес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Жина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ққа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енген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Үш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ғасыр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жырлайды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», «Бес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ғасыр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жырлайды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кітаптардан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алынған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Аталмыш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аудиокітаптар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поэзия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өнерін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насихиттауда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жетпес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құнды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материал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болатыны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сөзсіз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Осы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жобасы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шеңберінде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көптеген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жазушыларының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көркем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шығармаларының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жинағы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жарық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көрді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Б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өкей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О.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Атау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кере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Роман: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С.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Әбі</w:t>
      </w:r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л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ұлы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Жазушы-драматург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көрнекті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қаламгер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Оралхан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Бөкей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Атау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кере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романында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замана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шындығын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кейіпкерлерінің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бітім-болмысы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ішкі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-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дүниесі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өмірлік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мұраттары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әрқилы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тағдырлары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арқылы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терең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танытты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Адам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тағдырын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жалаң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саяс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и-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әлеуметтік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ауқымда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емес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барынша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күнделікті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өмірлік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заңдылықтар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аясында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таныту-қаламгердің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ұстанған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позициясы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прозасы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драматургиясындағы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қоғам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өзекті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мәселелері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кімді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де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болса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ойландырары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сөзсіз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Майлин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Б. </w:t>
      </w:r>
      <w:proofErr w:type="spellStart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Ш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ұғаның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белгісі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Хикаяттар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әңгімелер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: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Қ.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Бердешұлы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Бейімбет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Майлиннің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ұғаның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белгісі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хикаяттар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әңгімелер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жинағына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енген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прозалық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туындылары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арқылы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өзі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сүрген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заман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шындығы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қоғам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өмірін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шебер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сомдай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суреткерді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көруге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болады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Алғашқы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жазылған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ұғаның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белгісі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хикаятымен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көркем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прозасының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ғажайып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эстетикалық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мүмкіндігін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жарқырата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көрсетті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Ұлттық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әдебиетіміздің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қымбат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қазынасына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асыл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мұрасына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айналған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Бейімбет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Майлиннің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проза, поэзия, драматургия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жанрларындағы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lastRenderedPageBreak/>
        <w:t>туындыларын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да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оқырмандар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енді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Қаділ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Бердешұлының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оқуында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аудиокітаптан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тыңдай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алады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Келесі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ұсынатын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аудиокітабымыз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Ғабит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Мүсіреповтың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Ұлпан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» романы.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Мүсірепов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Ғ.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Ұлпан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Роман: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М.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Кәдірханұлы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ғасырлық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ұзын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ырға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тарихында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көреген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көсемдігімен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де,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айырықша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адал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адамгершілік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ақыл-парасатымен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де,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ағайын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туысқа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айнала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ауыл-аймақ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ел-жұртқа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етене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жақындығымен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де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Халық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анасы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атанған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пт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тұтас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бір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рулы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елдің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ұранына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айналып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кеткен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әйелдер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бар.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Аталмыш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романның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кейіпкері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Ұлпан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да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сондай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әжелер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санатынан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Роман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Мақсат</w:t>
      </w:r>
      <w:proofErr w:type="spellEnd"/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әдірханұлының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оқуында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берілген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Кекілбаев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Ә.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Күйші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Хикаяттар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: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Аудиокітап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/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оқыған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С.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Әбі</w:t>
      </w:r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л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ұлы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. -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Алматы</w:t>
      </w:r>
      <w:proofErr w:type="spellEnd"/>
      <w:proofErr w:type="gram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:</w:t>
      </w:r>
      <w:proofErr w:type="gram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i/>
          <w:iCs/>
          <w:color w:val="141414"/>
          <w:sz w:val="20"/>
          <w:lang w:eastAsia="ru-RU"/>
        </w:rPr>
        <w:t>, 2011. - CD-ROM.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Заманымыздың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заңғар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жазушысы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ұлт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мақтанышы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Әбіш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Кекілбаевтың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Күйші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атты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аудиокітабына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Жазушы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баспасынан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(2010-2011)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жарық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көрген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жиырма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томдық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шығармалар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жинағынан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алынған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әңгімелері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повестері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енген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Әбіш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Кекілбаев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туындыларының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ерекшелігі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–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тарихи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тақ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ырыптар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терең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үңілуінде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Шығармаларында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автор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өзінің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жері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Маңғыстау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өңі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інде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таралған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ежелгі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аңыз-әңгімелерді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шебер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пайдалана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отырып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өткен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күннің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жарқын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да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қаһарлы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бейнесін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моральдық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бейнесін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жасайды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бүгінгі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күннің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көкейтесті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мәселелерін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қозғайды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«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Күйші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повесі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де –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ежелгі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тайпалар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арасындағы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талас-тартыс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араздық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туралы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қатыгездік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надандық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жайлаған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замандағы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кейбі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ұсқынсыз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әдет-ғұрыптар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туралы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жазылған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шығарма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жерінің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өзге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аймақтарына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ұқсай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қоймайтын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осы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түбек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пен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тү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р</w:t>
      </w:r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ікмен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құмдарының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өмірі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тірлігі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салт-санасы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ата-бабалар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тағдыры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жайында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ежелгі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аңыз-әңгімелер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Серік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Әбілұлының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оқуында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берілген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Аталмыш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әдебиеттермен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Ғылыми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келі</w:t>
      </w:r>
      <w:proofErr w:type="gram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п</w:t>
      </w:r>
      <w:proofErr w:type="spellEnd"/>
      <w:proofErr w:type="gram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танысуға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болады</w:t>
      </w:r>
      <w:proofErr w:type="spellEnd"/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ind w:firstLine="720"/>
        <w:jc w:val="both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CE1E1C" w:rsidRPr="00CE1E1C" w:rsidRDefault="00CE1E1C" w:rsidP="00CE1E1C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Кітапханашы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: </w:t>
      </w: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Қарабалина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Р. С.</w:t>
      </w:r>
      <w:r w:rsidRPr="00CE1E1C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</w:r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Редактор: </w:t>
      </w:r>
      <w:proofErr w:type="spellStart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>Ергожина</w:t>
      </w:r>
      <w:proofErr w:type="spellEnd"/>
      <w:r w:rsidRPr="00CE1E1C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А.Т.</w:t>
      </w:r>
    </w:p>
    <w:p w:rsidR="00F947BA" w:rsidRPr="00CE1E1C" w:rsidRDefault="00F947BA" w:rsidP="00CE1E1C"/>
    <w:sectPr w:rsidR="00F947BA" w:rsidRPr="00CE1E1C" w:rsidSect="00F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9E"/>
    <w:rsid w:val="002E2320"/>
    <w:rsid w:val="004C3A81"/>
    <w:rsid w:val="006F49B1"/>
    <w:rsid w:val="00B1069E"/>
    <w:rsid w:val="00CE1E1C"/>
    <w:rsid w:val="00E960F6"/>
    <w:rsid w:val="00F77362"/>
    <w:rsid w:val="00F873FA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paragraph" w:styleId="2">
    <w:name w:val="heading 2"/>
    <w:basedOn w:val="a"/>
    <w:link w:val="20"/>
    <w:uiPriority w:val="9"/>
    <w:qFormat/>
    <w:rsid w:val="00CE1E1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9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B106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1E1C"/>
    <w:rPr>
      <w:rFonts w:eastAsia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CE1E1C"/>
    <w:rPr>
      <w:color w:val="0000FF"/>
      <w:u w:val="single"/>
    </w:rPr>
  </w:style>
  <w:style w:type="character" w:styleId="a8">
    <w:name w:val="Emphasis"/>
    <w:basedOn w:val="a0"/>
    <w:uiPriority w:val="20"/>
    <w:qFormat/>
    <w:rsid w:val="00CE1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Kapasheva.r</dc:creator>
  <cp:lastModifiedBy>Kapasheva.r</cp:lastModifiedBy>
  <cp:revision>2</cp:revision>
  <dcterms:created xsi:type="dcterms:W3CDTF">2021-05-05T11:01:00Z</dcterms:created>
  <dcterms:modified xsi:type="dcterms:W3CDTF">2021-05-05T11:01:00Z</dcterms:modified>
</cp:coreProperties>
</file>