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center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99060</wp:posOffset>
            </wp:positionV>
            <wp:extent cx="1905000" cy="3019425"/>
            <wp:effectExtent l="19050" t="0" r="0" b="0"/>
            <wp:wrapTight wrapText="bothSides">
              <wp:wrapPolygon edited="0">
                <wp:start x="-216" y="0"/>
                <wp:lineTo x="-216" y="21532"/>
                <wp:lineTo x="21600" y="21532"/>
                <wp:lineTo x="21600" y="0"/>
                <wp:lineTo x="-216" y="0"/>
              </wp:wrapPolygon>
            </wp:wrapTight>
            <wp:docPr id="15" name="Рисунок 15" descr="http://oldlibrary.psu.kz/images/stories/psu_photo/nb_duysemb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dlibrary.psu.kz/images/stories/psu_photo/nb_duysembin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1DC">
        <w:rPr>
          <w:rFonts w:ascii="Verdana" w:eastAsia="Times New Roman" w:hAnsi="Verdana"/>
          <w:b/>
          <w:bCs/>
          <w:color w:val="141414"/>
          <w:sz w:val="20"/>
          <w:lang w:eastAsia="ru-RU"/>
        </w:rPr>
        <w:t>Серия библиографических обзоров «Труды академиков Павлодарской области»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center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b/>
          <w:bCs/>
          <w:color w:val="141414"/>
          <w:sz w:val="20"/>
          <w:lang w:eastAsia="ru-RU"/>
        </w:rPr>
        <w:t>Патриот родной науки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(к 80 –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летию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со дня рождения ученого - физиолога, члена корреспондента НАН РК </w:t>
      </w:r>
      <w:proofErr w:type="spellStart"/>
      <w:r w:rsidRPr="005A71DC">
        <w:rPr>
          <w:rFonts w:ascii="Verdana" w:eastAsia="Times New Roman" w:hAnsi="Verdana"/>
          <w:b/>
          <w:bCs/>
          <w:color w:val="141414"/>
          <w:sz w:val="20"/>
          <w:lang w:eastAsia="ru-RU"/>
        </w:rPr>
        <w:t>Дюсембина</w:t>
      </w:r>
      <w:proofErr w:type="spellEnd"/>
      <w:r w:rsidRPr="005A71D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Х. Д.</w:t>
      </w: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)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right"/>
        <w:textAlignment w:val="top"/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>Мудрость науки заключается в бескорыстном служении на пользу людям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right"/>
        <w:textAlignment w:val="top"/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</w:pPr>
      <w:proofErr w:type="spellStart"/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>Рескин</w:t>
      </w:r>
      <w:proofErr w:type="spellEnd"/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 xml:space="preserve"> Д.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right"/>
        <w:textAlignment w:val="top"/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 xml:space="preserve">Патриот – ученый может и должен быть патриотом и узком </w:t>
      </w:r>
      <w:proofErr w:type="gramStart"/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>смысле</w:t>
      </w:r>
      <w:proofErr w:type="gramEnd"/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>, патриотом родной науки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right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b/>
          <w:color w:val="141414"/>
          <w:sz w:val="20"/>
          <w:szCs w:val="20"/>
          <w:lang w:eastAsia="ru-RU"/>
        </w:rPr>
        <w:t>Вавилов С. И</w:t>
      </w: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Тайна жизни и деятельности тела человека и животных, издавна волновали пытливые </w:t>
      </w:r>
      <w:proofErr w:type="gram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умы</w:t>
      </w:r>
      <w:proofErr w:type="gram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начиная с античных времен и до наши дней. Не остался в стороне от этой универсальной науки физиологии - и наш юбиляр, проявив талант исследователя.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Увлеченность физиологическим науками, в дальнейшем, переросли в профессиональную и научную деятельность, стали смыслом жизни, для ученого, доктора биологических наук, профессора, члена – корреспондента НАН РК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Дюсембина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Хабдрахмана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Дюсембиновича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, которому в этом году исполняется 80 лет.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Хабдрахман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Дюсембинович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родился 15 октября 1931 г., в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с</w:t>
      </w:r>
      <w:proofErr w:type="gram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.У</w:t>
      </w:r>
      <w:proofErr w:type="gram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школь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Успенского района Павлодарской области. В 1953 г. окончил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биолого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– почвенный факультет Казахского государственного университета им. Кирова. Формирование как ученого, продолжилось в ленинградской научной школе. Стремление молодого исследователя, к новым перспективным горизонтам науки, и желание расширить свой научный потенциал, привели в аспирантуру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Лениградского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института физиологии им. Павлова, где он постигал азы науки с 1953 по 1956 г.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По возвращению в Казахстан, молодой ученый окунулся в любимую работу, защитил кандидатскую, а затем докторскую диссертацию.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Х. Д. продолжил научную и практическую деятельность в Институте физиологии АН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Каз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ССР, начиная от сотрудника до зав. лабораторией</w:t>
      </w:r>
      <w:proofErr w:type="gram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.</w:t>
      </w:r>
      <w:proofErr w:type="gram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 1981 – 1990 г. - зав. кафедрой физиологии человека и животных Казахского государственного университета им. Аль –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Фараби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С 1990 по 2003 г. директор Института физиологии человека и животных МОН РК. </w:t>
      </w:r>
      <w:proofErr w:type="gram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Находясь во главе института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Х. Д. создал</w:t>
      </w:r>
      <w:proofErr w:type="gram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 развил новое научное направление – нейрогормональная регуляция лактации, разработал теорию торможения молокоотдачи. Были разработаны и внедрены практические рекомендации по профилактике и лечению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гипогалактии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у кормящих матерей, получены новые данные по динамике секреции катехоламинов и кортикостероидов в артериальной, венозной крови и ткани молочной железы, изучено их взаимодействие с гормонами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аденогипофиза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нейромедаторами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в регуляции процессов лактации.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Как опытный руководитель в подготовке научных кадров, под его чутким руководством, защитили 6 докторских и 14 кандидатских диссертации, выпущено 152 публикации, в т. ч. 4 монографии.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Х. Д. активно участвовал во многих научных проектах. Совместно с другими сотрудниками института, он по предложению президента детского фонда «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Бобек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С. А. Назарбаевой, проводил большую работу по научному обоснованию оздоровительной системы «Детка». Он, также принимал участие в составлении и выполнении программ для космонавтов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Аубакирова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Т.  О. и Мусабаева Т. А.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Наш почетный юбиляр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Дюсембин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Х.Д. является – действительным членом Академии профилактической медицины РК, академиком Международной академии </w:t>
      </w: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lastRenderedPageBreak/>
        <w:t xml:space="preserve">интегрированной </w:t>
      </w:r>
      <w:proofErr w:type="spell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анропологии</w:t>
      </w:r>
      <w:proofErr w:type="spell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, вице – президентом Казахстанского филологического общества, советник Международной ассоциации докторов медицины  Азии – ІМ</w:t>
      </w:r>
      <w:proofErr w:type="gramStart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D</w:t>
      </w:r>
      <w:proofErr w:type="gramEnd"/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А.</w:t>
      </w:r>
    </w:p>
    <w:p w:rsidR="005A71DC" w:rsidRPr="005A71DC" w:rsidRDefault="005A71DC" w:rsidP="005A71D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5A71DC">
        <w:rPr>
          <w:rFonts w:ascii="Verdana" w:eastAsia="Times New Roman" w:hAnsi="Verdana"/>
          <w:color w:val="141414"/>
          <w:sz w:val="20"/>
          <w:szCs w:val="20"/>
          <w:lang w:eastAsia="ru-RU"/>
        </w:rPr>
        <w:t>Наиболее весомое доказательство деятельности ученого его труды, представленные вашему вниманию.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15"/>
      </w:tblGrid>
      <w:tr w:rsidR="005A71DC" w:rsidRPr="005A71DC" w:rsidTr="005A71DC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Х.Д. Торможение и стимуляция лактации у животных /Х. Д.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.- </w:t>
            </w:r>
            <w:proofErr w:type="spellStart"/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–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Ата</w:t>
            </w:r>
            <w:proofErr w:type="spellEnd"/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Наука, 1977. – 208 </w:t>
            </w:r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</w:t>
            </w:r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книге обобщены результаты экспериментальных работ, выполненных автором в течени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последнего десятилетия, а также литературные данные отечественных и зарубежных исследователей в области физиологии лактации. Основная проблема, поднятая в монографии – гормональная стимуляция секретно – моторной функции молочной железы сельскохозяйственных животных. Подробно освещены вопросы торможения молокоотдачи и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гиполактии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дано научное обоснование применения 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комплексных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мероприятии для успешной интенсификации молочного животноводства. Книга рассчитана на биологов, физиологов, зоотехников, ветврачей, преподавателей и студентов вузов биологического профиля.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Полезна будет и специалистам молочного животноводства.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-2143125</wp:posOffset>
                  </wp:positionV>
                  <wp:extent cx="1952625" cy="2771775"/>
                  <wp:effectExtent l="19050" t="0" r="9525" b="0"/>
                  <wp:wrapTight wrapText="bothSides">
                    <wp:wrapPolygon edited="0">
                      <wp:start x="-211" y="0"/>
                      <wp:lineTo x="-211" y="21526"/>
                      <wp:lineTo x="21705" y="21526"/>
                      <wp:lineTo x="21705" y="0"/>
                      <wp:lineTo x="-211" y="0"/>
                    </wp:wrapPolygon>
                  </wp:wrapTight>
                  <wp:docPr id="1" name="Рисунок 1" descr="http://oldlibrary.psu.kz/images/stories/psu_photo/nb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library.psu.kz/images/stories/psu_photo/nb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Два последующих труда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Дюсембина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Х.Д., написаны совместно с первой женщиной академиком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Базановой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 У.,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возглавлявщей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1966 году, Институт физиологии человека и животных.</w:t>
            </w:r>
          </w:p>
        </w:tc>
      </w:tr>
      <w:tr w:rsidR="005A71DC" w:rsidRPr="005A71DC" w:rsidTr="005A71DC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Базанова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Н. У.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Х. Д. Стимуляция молокоотдачи у животных /Н. У.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Базанова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, Х. Д.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. – </w:t>
            </w:r>
            <w:proofErr w:type="spellStart"/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–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Ата</w:t>
            </w:r>
            <w:proofErr w:type="spellEnd"/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Кайнар, 1973. – 112 </w:t>
            </w:r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</w:t>
            </w:r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-274320</wp:posOffset>
                  </wp:positionV>
                  <wp:extent cx="1988820" cy="2714625"/>
                  <wp:effectExtent l="19050" t="0" r="0" b="0"/>
                  <wp:wrapTight wrapText="bothSides">
                    <wp:wrapPolygon edited="0">
                      <wp:start x="-207" y="0"/>
                      <wp:lineTo x="-207" y="21524"/>
                      <wp:lineTo x="21517" y="21524"/>
                      <wp:lineTo x="21517" y="0"/>
                      <wp:lineTo x="-207" y="0"/>
                    </wp:wrapPolygon>
                  </wp:wrapTight>
                  <wp:docPr id="2" name="Рисунок 2" descr="http://oldlibrary.psu.kz/images/stories/psu_photo/nb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library.psu.kz/images/stories/psu_photo/nb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книге обобщены достижения современной науки и передового опыта в молочном животноводстве. Подробно рассматриваются вопросы образования молока и физиологии его отдачи. Специальная часть посвящена синтезу составных частей молока и факторам, влияющих на этот процесс. Описываются пути увеличения молочной продуктивности, а также рациональные методы кормления и содержания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лактирующих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животныхВ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книге, уделено значительное внимание, вопросам правильной организации доения разных видов животных (коров, кобыл, верблюдов, овец), с учетом морфо – функциональных особенностей молочных желез. Подробно изложены физиологические основы машинного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доения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рассчитана на зоотехников и ветеринарных врачей, работников молочного животноводства, а также преподавателям, аспирантам и студентам сельскохозяйственных вузов и колледжей.</w:t>
            </w:r>
          </w:p>
        </w:tc>
      </w:tr>
    </w:tbl>
    <w:p w:rsidR="005A71DC" w:rsidRDefault="005A71DC">
      <w:r>
        <w:br w:type="page"/>
      </w:r>
    </w:p>
    <w:tbl>
      <w:tblPr>
        <w:tblW w:w="9625" w:type="dxa"/>
        <w:jc w:val="center"/>
        <w:tblCellMar>
          <w:left w:w="0" w:type="dxa"/>
          <w:right w:w="0" w:type="dxa"/>
        </w:tblCellMar>
        <w:tblLook w:val="04A0"/>
      </w:tblPr>
      <w:tblGrid>
        <w:gridCol w:w="9625"/>
      </w:tblGrid>
      <w:tr w:rsidR="005A71DC" w:rsidRPr="005A71DC" w:rsidTr="005A71DC">
        <w:trPr>
          <w:trHeight w:val="8908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Базанова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Н. У.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Х. Д. Функции молочной железы у сельскохозяйственных животных / Н. У.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Базанова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Х. Д.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. – </w:t>
            </w:r>
            <w:proofErr w:type="spellStart"/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-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Ата</w:t>
            </w:r>
            <w:proofErr w:type="spellEnd"/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Наука, 1973. – 268 с.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илл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книге, рассматриваются различные вопросы физиологии лактации у сельскохозяйственных животных (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кобыл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оров,овец,и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коз), причины снижения секреции молока и природа торможения рефлекса молокоотдачи, меры борьбы против преждевременного запуска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лактирующих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животных.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Несколько подробнее, освещены особенности молокообразования и машинного доения кобыл, в связи с необходимостью разработки научно обоснованных методов доения и повышения молочной продуктивности этих животных, что обусловлено растущим спросом населения на натуральный кумыс, который обладает высоким питательными и лечебными свойствами.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-1888490</wp:posOffset>
                  </wp:positionV>
                  <wp:extent cx="1876425" cy="2543175"/>
                  <wp:effectExtent l="19050" t="0" r="9525" b="0"/>
                  <wp:wrapTight wrapText="bothSides">
                    <wp:wrapPolygon edited="0">
                      <wp:start x="-219" y="0"/>
                      <wp:lineTo x="-219" y="21519"/>
                      <wp:lineTo x="21710" y="21519"/>
                      <wp:lineTo x="21710" y="0"/>
                      <wp:lineTo x="-219" y="0"/>
                    </wp:wrapPolygon>
                  </wp:wrapTight>
                  <wp:docPr id="3" name="Рисунок 3" descr="http://oldlibrary.psu.kz/images/stories/psu_photo/nb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dlibrary.psu.kz/images/stories/psu_photo/nb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Авторы излагают главным образом результаты своей пятнадцатилетней работы с соответствующим обобщением новейших литературных данных.</w:t>
            </w:r>
          </w:p>
          <w:p w:rsid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356235</wp:posOffset>
                  </wp:positionV>
                  <wp:extent cx="1695450" cy="2371725"/>
                  <wp:effectExtent l="19050" t="0" r="0" b="0"/>
                  <wp:wrapTight wrapText="bothSides">
                    <wp:wrapPolygon edited="0">
                      <wp:start x="-243" y="0"/>
                      <wp:lineTo x="-243" y="21513"/>
                      <wp:lineTo x="21600" y="21513"/>
                      <wp:lineTo x="21600" y="0"/>
                      <wp:lineTo x="-243" y="0"/>
                    </wp:wrapPolygon>
                  </wp:wrapTight>
                  <wp:docPr id="4" name="Рисунок 4" descr="http://oldlibrary.psu.kz/images/stories/psu_photo/nb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dlibrary.psu.kz/images/stories/psu_photo/nb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Книга рассчитана на биологов, физиологов, зоотехников, ветврачей, преподавателей, и студентов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сельскохозяйственых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вузов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Х. Д.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Гипогалактия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экспериментальные и клинические исследования / Х. Д.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Дюсембин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. –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Алматы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Гылым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, 1993. – 196 с.</w:t>
            </w:r>
          </w:p>
          <w:p w:rsidR="00000000" w:rsidRPr="005A71DC" w:rsidRDefault="005A71DC" w:rsidP="005A71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Обобщены результаты экспериментальных, клинических 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исследовании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физиологических аспектов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гипогалактии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человека и животных. Рассмотрены механизмы гормональной регуляции 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лактации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помощью которых раскрыта физиологическая природа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гипогалактии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 также гормональные механизмы лактогенеза и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гипогалактии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вторичного происхождения у женщин. Разработаны практические рекомендации по профилактике и лечению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гипогалактии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Книга предназначена для медиков, ветеринаров, врачей, физиологов, биологов, преподавателей и студентов вузов биологического профиля, а также акушеров – гинекологов и терапевтов.</w:t>
            </w:r>
          </w:p>
        </w:tc>
      </w:tr>
      <w:tr w:rsidR="005A71DC" w:rsidRPr="005A71DC" w:rsidTr="005A71DC">
        <w:trPr>
          <w:trHeight w:val="2293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Дүйсембин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Қ. </w:t>
            </w:r>
            <w:proofErr w:type="spellStart"/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Жас</w:t>
            </w:r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қа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сай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физиология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және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мектеп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гигиенасы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оқулық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/ Қ. Д.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Дүйсембин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, З.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Алиакпарова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. –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Алматы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, 2003. – 400 с.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Бүл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кітапта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өсуі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мүшелерінің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қалыптасу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заңдылықтары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бала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организмінің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қызметін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реттеуші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физиологиялық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тетіктері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ерекшеліктеріне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мектеп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гигиенасының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талаптары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баяндалады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онымен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қатар,осы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саладағы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шет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ғалымдарының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соңғы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жылдардағы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ғылыми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жетістектері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камтылған.Кітапта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физиология,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оқу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тәрбие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гигиена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мәселелері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жасына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организмінің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ерекшеліктеріне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тұ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ғыдан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қарастырылған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-1510030</wp:posOffset>
                  </wp:positionV>
                  <wp:extent cx="1847850" cy="2628900"/>
                  <wp:effectExtent l="19050" t="0" r="0" b="0"/>
                  <wp:wrapTight wrapText="bothSides">
                    <wp:wrapPolygon edited="0">
                      <wp:start x="-223" y="0"/>
                      <wp:lineTo x="-223" y="21443"/>
                      <wp:lineTo x="21600" y="21443"/>
                      <wp:lineTo x="21600" y="0"/>
                      <wp:lineTo x="-223" y="0"/>
                    </wp:wrapPolygon>
                  </wp:wrapTight>
                  <wp:docPr id="5" name="Рисунок 5" descr="http://oldlibrary.psu.kz/images/stories/psu_photo/nb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dlibrary.psu.kz/images/stories/psu_photo/nb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Оқулық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жоғ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ары</w:t>
            </w:r>
            <w:proofErr w:type="spellEnd"/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оқу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арнаулы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білім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беретін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оқу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орындарының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ұстаздары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студенттеріне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аспиранттарға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арналған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</w:tc>
      </w:tr>
      <w:tr w:rsidR="005A71DC" w:rsidRPr="005A71DC" w:rsidTr="005A71DC">
        <w:trPr>
          <w:trHeight w:val="127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71DC" w:rsidRPr="005A71DC" w:rsidTr="005A71DC">
        <w:trPr>
          <w:trHeight w:val="127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Дүйсембин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Қ.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Орталық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жүйке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жүйесі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және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жоғары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жүйке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әрекетінің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физиологиясы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. –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Алматы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: ҒАҒЗИ, 2001. – 217 б.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Орталық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жүйке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жүйесі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жоғары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жүйке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әрекетінің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психофизиологиялық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мәселелері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ғылымның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соңғы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жаналықтарына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негізделі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жазылды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Ми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қыртысының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функциялық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ерекшелі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әне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бағанасы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жұлынның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қызметтерін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үйлесімді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басқаруы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толық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баяндалды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зерттеудің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ңа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ғылыми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әдістемелері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берілді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Проблемы центральной нервной системы и высшей нервной деятельности написаны на основе последних достижений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науки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зложены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функциональные особенности коры головного мозга и ее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итегративное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функциями мозгового ствола и спинного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мозга.Приведены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научные методы исследования мозга.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-1755140</wp:posOffset>
                  </wp:positionV>
                  <wp:extent cx="1819275" cy="2714625"/>
                  <wp:effectExtent l="19050" t="0" r="9525" b="0"/>
                  <wp:wrapTight wrapText="bothSides">
                    <wp:wrapPolygon edited="0">
                      <wp:start x="-226" y="0"/>
                      <wp:lineTo x="-226" y="21524"/>
                      <wp:lineTo x="21713" y="21524"/>
                      <wp:lineTo x="21713" y="0"/>
                      <wp:lineTo x="-226" y="0"/>
                    </wp:wrapPolygon>
                  </wp:wrapTight>
                  <wp:docPr id="6" name="Рисунок 6" descr="http://oldlibrary.psu.kz/images/stories/psu_photo/nb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dlibrary.psu.kz/images/stories/psu_photo/nb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Книга предназначена для научных работников, преподавателям, биологических факультетов, аспирантам,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магистрантам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тудентам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медицинских вузов.</w:t>
            </w:r>
          </w:p>
        </w:tc>
      </w:tr>
      <w:tr w:rsidR="005A71DC" w:rsidRPr="005A71DC" w:rsidTr="005A71DC">
        <w:trPr>
          <w:trHeight w:val="127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DC" w:rsidRPr="005A71DC" w:rsidRDefault="005A71DC" w:rsidP="005A71DC">
            <w:pPr>
              <w:spacing w:before="180" w:after="180" w:line="240" w:lineRule="auto"/>
              <w:ind w:firstLine="2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4282440</wp:posOffset>
                  </wp:positionH>
                  <wp:positionV relativeFrom="paragraph">
                    <wp:posOffset>70485</wp:posOffset>
                  </wp:positionV>
                  <wp:extent cx="1790700" cy="2590800"/>
                  <wp:effectExtent l="19050" t="0" r="0" b="0"/>
                  <wp:wrapTight wrapText="bothSides">
                    <wp:wrapPolygon edited="0">
                      <wp:start x="-230" y="0"/>
                      <wp:lineTo x="-230" y="21441"/>
                      <wp:lineTo x="21600" y="21441"/>
                      <wp:lineTo x="21600" y="0"/>
                      <wp:lineTo x="-230" y="0"/>
                    </wp:wrapPolygon>
                  </wp:wrapTight>
                  <wp:docPr id="7" name="Рисунок 7" descr="http://oldlibrary.psu.kz/images/stories/psu_photo/nb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library.psu.kz/images/stories/psu_photo/nb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Здоровье человека и система П. К. Иванова «Детка». –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Алматы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: </w:t>
            </w:r>
            <w:proofErr w:type="spell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Каз</w:t>
            </w:r>
            <w:proofErr w:type="gramStart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.м</w:t>
            </w:r>
            <w:proofErr w:type="gram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ед</w:t>
            </w:r>
            <w:proofErr w:type="spellEnd"/>
            <w:r w:rsidRPr="005A71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 ин-т,1999. – 176 с.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коллективной монографии приводятся результаты исследований вопросов адаптации организма и функции отдельных систем молодых здоровых мужчин в процессе закаливания по оздоровительной системе П.К. Иванова.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Впервые обосновываются физиологические, биохимические, и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имунные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механизмы сдвигов, наблюдаемых у человека в условиях мини – стрессов, предусмотренных системой «Детка». Работа посвящена актуальной проблеме формирования здорового образа жизни и содержит практические рекомендации по системе оздоровления населения.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Книга рассчитана на врачей, студентов медицинских и биологических факультетов и лиц, пропагандирующих здоровый образ жизни.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изучения жизнедеятельности любого организма необходимо понимание его развития. Физиология связана </w:t>
            </w: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многими науками – медициной, анатомией ветеринарией, зоотехнией, физикой, химией. Без знания физиологии невозможно решать вопросы жизнедеятельности человека, его здоровья, разведения, содержания ухода и лечение болезней, правильного использования животных для получения от них возможно большего количества высококачественной продукции.</w:t>
            </w:r>
          </w:p>
          <w:p w:rsidR="005A71DC" w:rsidRPr="005A71DC" w:rsidRDefault="005A71DC" w:rsidP="005A71DC">
            <w:pPr>
              <w:spacing w:before="180" w:after="18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Многогранная,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разностороняя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физиология стала основой, для научной и практической деятельности ученого, жизнь которого тесно переплетена с этой необыкновенной наукой.</w:t>
            </w:r>
          </w:p>
          <w:p w:rsidR="005A71DC" w:rsidRDefault="005A71DC" w:rsidP="005A71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Известный русский писатель Л. Н. Толстой, так сказал о людях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посвятивщих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себя науке: « ...только тот может быть признан настоящим ученым, кто трудится для пользы народа и направляет свою деятельность на участие в борьбе с природою за свою жизнь и жизнь других людей» - это высказывание полностью характеризует и нашего героя – </w:t>
            </w:r>
            <w:proofErr w:type="spellStart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Дюсембина</w:t>
            </w:r>
            <w:proofErr w:type="spellEnd"/>
            <w:r w:rsidRPr="005A7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Х. Д.</w:t>
            </w:r>
            <w:proofErr w:type="gramEnd"/>
          </w:p>
          <w:p w:rsidR="005A71DC" w:rsidRPr="005A71DC" w:rsidRDefault="005A71DC" w:rsidP="005A71DC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</w:pPr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 xml:space="preserve">Дополнительную информацию о трудах </w:t>
            </w:r>
            <w:proofErr w:type="spellStart"/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>Дюсембина</w:t>
            </w:r>
            <w:proofErr w:type="spellEnd"/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 xml:space="preserve"> Х. Д., и других ученых </w:t>
            </w:r>
            <w:proofErr w:type="gramStart"/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>Павлодарского</w:t>
            </w:r>
            <w:proofErr w:type="gramEnd"/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>Прииртышья</w:t>
            </w:r>
            <w:proofErr w:type="spellEnd"/>
            <w:r w:rsidRPr="005A71DC">
              <w:rPr>
                <w:rFonts w:ascii="Verdana" w:eastAsia="Times New Roman" w:hAnsi="Verdana"/>
                <w:color w:val="141414"/>
                <w:sz w:val="20"/>
                <w:szCs w:val="20"/>
                <w:lang w:eastAsia="ru-RU"/>
              </w:rPr>
              <w:t xml:space="preserve"> имеющихся в фонде Научной библиотеки ПГУ, вы можете узнать на образовательном портале ПГУ в электронном каталоге и читальном зале ППС.</w:t>
            </w:r>
          </w:p>
          <w:p w:rsidR="005A71DC" w:rsidRPr="005A71DC" w:rsidRDefault="001F46B6" w:rsidP="001F46B6">
            <w:pPr>
              <w:shd w:val="clear" w:color="auto" w:fill="FFFFFF"/>
              <w:spacing w:before="180" w:after="18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Составители: библиотекарь читального зала ППС НБ им. академика С. </w:t>
            </w:r>
            <w:proofErr w:type="spellStart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>Бейсембаева</w:t>
            </w:r>
            <w:proofErr w:type="spellEnd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 </w:t>
            </w:r>
            <w:proofErr w:type="spellStart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>Кудайбергенова</w:t>
            </w:r>
            <w:proofErr w:type="spellEnd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 Г. У.,</w:t>
            </w:r>
            <w:r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 </w:t>
            </w:r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>зав</w:t>
            </w:r>
            <w:r>
              <w:rPr>
                <w:rFonts w:eastAsia="Times New Roman"/>
                <w:bCs/>
                <w:color w:val="141414"/>
                <w:sz w:val="24"/>
                <w:lang w:eastAsia="ru-RU"/>
              </w:rPr>
              <w:t>.</w:t>
            </w:r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 отделом ОНЛ НБ им. академика С. </w:t>
            </w:r>
            <w:proofErr w:type="spellStart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>Бейсембаева</w:t>
            </w:r>
            <w:proofErr w:type="spellEnd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 </w:t>
            </w:r>
            <w:proofErr w:type="spellStart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>Аманова</w:t>
            </w:r>
            <w:proofErr w:type="spellEnd"/>
            <w:r w:rsidRPr="001F46B6">
              <w:rPr>
                <w:rFonts w:eastAsia="Times New Roman"/>
                <w:bCs/>
                <w:color w:val="141414"/>
                <w:sz w:val="24"/>
                <w:lang w:eastAsia="ru-RU"/>
              </w:rPr>
              <w:t xml:space="preserve"> Г. К.</w:t>
            </w:r>
          </w:p>
        </w:tc>
      </w:tr>
    </w:tbl>
    <w:p w:rsidR="00F947BA" w:rsidRDefault="00F947BA" w:rsidP="001F46B6">
      <w:pPr>
        <w:shd w:val="clear" w:color="auto" w:fill="FFFFFF"/>
        <w:spacing w:before="180" w:after="180" w:line="240" w:lineRule="auto"/>
        <w:textAlignment w:val="top"/>
      </w:pPr>
    </w:p>
    <w:sectPr w:rsidR="00F947BA" w:rsidSect="001F46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DC"/>
    <w:rsid w:val="001F46B6"/>
    <w:rsid w:val="004C3A81"/>
    <w:rsid w:val="005A71DC"/>
    <w:rsid w:val="006139B7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1D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5A71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Kapasheva.r</dc:creator>
  <cp:lastModifiedBy>Kapasheva.r</cp:lastModifiedBy>
  <cp:revision>2</cp:revision>
  <dcterms:created xsi:type="dcterms:W3CDTF">2021-05-04T10:20:00Z</dcterms:created>
  <dcterms:modified xsi:type="dcterms:W3CDTF">2021-05-04T10:20:00Z</dcterms:modified>
</cp:coreProperties>
</file>